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5D7" w:rsidRDefault="00F255D7">
      <w:pPr>
        <w:pStyle w:val="Heading1"/>
      </w:pPr>
      <w:bookmarkStart w:id="0" w:name="_GoBack"/>
      <w:bookmarkEnd w:id="0"/>
      <w:r>
        <w:t>DEFINITIONS</w:t>
      </w:r>
    </w:p>
    <w:p w:rsidR="00F255D7" w:rsidRDefault="005B1C08">
      <w:pPr>
        <w:pStyle w:val="Body"/>
      </w:pPr>
      <w:r>
        <w:t>The</w:t>
      </w:r>
      <w:r w:rsidR="00F255D7">
        <w:t xml:space="preserve"> Office of Minority Business and Capitol Ownership Development in the Small Business Administration will answer inquiries from contractors relative to the class of eligibles and has final authority to determine the eligibility of a concern to be designated as a small disadvantaged business.</w:t>
      </w:r>
    </w:p>
    <w:p w:rsidR="00F255D7" w:rsidRDefault="00F255D7">
      <w:pPr>
        <w:pStyle w:val="Heading2"/>
      </w:pPr>
      <w:r>
        <w:t>1.</w:t>
      </w:r>
      <w:r>
        <w:tab/>
        <w:t>SMALL BUSINESS</w:t>
      </w:r>
    </w:p>
    <w:p w:rsidR="00F255D7" w:rsidRDefault="00F255D7">
      <w:pPr>
        <w:pStyle w:val="Body-1"/>
      </w:pPr>
      <w:r>
        <w:t xml:space="preserve">A concern usually with 500 employees or less that is independently owned and operated, or its dominant in the field of operation in which it is bidding on Government contracts, and with its affiliates, can further qualify under the criteria set forth in DAR 1-701 1 (a)(2) and (a)(3).  CONCERN means any business entity organized for profit with a place of business in the </w:t>
      </w:r>
      <w:smartTag w:uri="urn:schemas-microsoft-com:office:smarttags" w:element="country-region">
        <w:r>
          <w:t>United States</w:t>
        </w:r>
      </w:smartTag>
      <w:r>
        <w:t xml:space="preserve">, its possessions, Puerto Rico, or the </w:t>
      </w:r>
      <w:smartTag w:uri="urn:schemas-microsoft-com:office:smarttags" w:element="place">
        <w:r>
          <w:t>Trust Territory of the Pacific Islands</w:t>
        </w:r>
      </w:smartTag>
      <w:r>
        <w:t>, including but not limited to an individual, partnership, corporation, joint venture, association, or cooperative.  For the purpose of an acquisition of a product or a service, the applicable size standards are as follows:</w:t>
      </w:r>
    </w:p>
    <w:p w:rsidR="00F255D7" w:rsidRDefault="00F255D7">
      <w:pPr>
        <w:pStyle w:val="Heading3"/>
      </w:pPr>
      <w:r>
        <w:rPr>
          <w:b w:val="0"/>
        </w:rPr>
        <w:t>a.</w:t>
      </w:r>
      <w:r>
        <w:rPr>
          <w:b w:val="0"/>
        </w:rPr>
        <w:tab/>
      </w:r>
      <w:r>
        <w:t>MANUFACTURING INDUSTRIES LISTED IN DAR 1-701.4</w:t>
      </w:r>
    </w:p>
    <w:p w:rsidR="00F255D7" w:rsidRDefault="00F255D7">
      <w:pPr>
        <w:pStyle w:val="Body-2"/>
      </w:pPr>
      <w:r>
        <w:t>For a product classified within an industry listed in 1-701.4, the number of employees of the concern and its affiliates must not exceed the small business size standard establishment therein for that industry.</w:t>
      </w:r>
    </w:p>
    <w:p w:rsidR="00F255D7" w:rsidRDefault="00F255D7">
      <w:pPr>
        <w:pStyle w:val="Heading3"/>
      </w:pPr>
      <w:r>
        <w:rPr>
          <w:b w:val="0"/>
        </w:rPr>
        <w:t>b.</w:t>
      </w:r>
      <w:r>
        <w:rPr>
          <w:b w:val="0"/>
        </w:rPr>
        <w:tab/>
      </w:r>
      <w:r>
        <w:t>MANUFACTURING INDUSTRIES NOT LISTED IN DAR 1-701.4</w:t>
      </w:r>
    </w:p>
    <w:p w:rsidR="00F255D7" w:rsidRDefault="00F255D7">
      <w:pPr>
        <w:pStyle w:val="Body-2"/>
      </w:pPr>
      <w:r>
        <w:t>For a product classified within an industry not set forth in this paragraph or in 1-701.4, the number of employees of the concern must not exceed 500 persons.</w:t>
      </w:r>
    </w:p>
    <w:p w:rsidR="00F255D7" w:rsidRDefault="00F255D7">
      <w:pPr>
        <w:pStyle w:val="Heading3"/>
      </w:pPr>
      <w:r>
        <w:rPr>
          <w:b w:val="0"/>
        </w:rPr>
        <w:t>c.</w:t>
      </w:r>
      <w:r>
        <w:rPr>
          <w:b w:val="0"/>
        </w:rPr>
        <w:tab/>
      </w:r>
      <w:r>
        <w:t>NONMANUFACTURING INDUSTRIES</w:t>
      </w:r>
    </w:p>
    <w:p w:rsidR="00F255D7" w:rsidRDefault="00F255D7">
      <w:pPr>
        <w:pStyle w:val="Body-2"/>
      </w:pPr>
      <w:r>
        <w:t>For a product not manufactured by the concern submitting a bid or proposal, other than for a construction or service contract, the number of employees of that concern must not exceed 500 persons.</w:t>
      </w:r>
    </w:p>
    <w:p w:rsidR="00F255D7" w:rsidRDefault="00F255D7">
      <w:pPr>
        <w:pStyle w:val="Heading3"/>
      </w:pPr>
      <w:r>
        <w:rPr>
          <w:b w:val="0"/>
        </w:rPr>
        <w:t>d.</w:t>
      </w:r>
      <w:r>
        <w:rPr>
          <w:b w:val="0"/>
        </w:rPr>
        <w:tab/>
      </w:r>
      <w:r>
        <w:t>SERVICE INDUSTRIES</w:t>
      </w:r>
    </w:p>
    <w:p w:rsidR="00F255D7" w:rsidRDefault="00F255D7">
      <w:pPr>
        <w:pStyle w:val="Body-2"/>
      </w:pPr>
      <w:r>
        <w:t>Any concern bidding on contract for services not elsewhere defined in DAR 1-701.1 is classified as small if the annual reports of the concern and its affiliates for the preceding three fiscal years do not exceed $2 million.</w:t>
      </w:r>
    </w:p>
    <w:p w:rsidR="00F255D7" w:rsidRDefault="00F255D7">
      <w:pPr>
        <w:pStyle w:val="Heading2"/>
      </w:pPr>
      <w:r>
        <w:t>2.</w:t>
      </w:r>
      <w:r>
        <w:tab/>
        <w:t>SMALL DISADVANTAGED BUSINESS</w:t>
      </w:r>
    </w:p>
    <w:p w:rsidR="00F255D7" w:rsidRDefault="00F255D7">
      <w:pPr>
        <w:pStyle w:val="Body-1"/>
      </w:pPr>
      <w:r>
        <w:t>Means any small business concern:</w:t>
      </w:r>
    </w:p>
    <w:p w:rsidR="00F255D7" w:rsidRDefault="00F255D7">
      <w:pPr>
        <w:pStyle w:val="Para-1"/>
      </w:pPr>
      <w:r>
        <w:t>a.</w:t>
      </w:r>
      <w:r>
        <w:tab/>
        <w:t>which is at least 51 percent owned by one or more socially and economically disadvantaged individuals; or, in the case of any publicly-owned business, at least 51 percent of the stock of which is owned by one or more socially and economically disadvantaged individuals, and</w:t>
      </w:r>
    </w:p>
    <w:p w:rsidR="00F255D7" w:rsidRDefault="00F255D7">
      <w:pPr>
        <w:pStyle w:val="Para-1"/>
      </w:pPr>
      <w:proofErr w:type="gramStart"/>
      <w:r>
        <w:t>b</w:t>
      </w:r>
      <w:proofErr w:type="gramEnd"/>
      <w:r>
        <w:t>.</w:t>
      </w:r>
      <w:r>
        <w:tab/>
        <w:t>whose management and daily business operations are controlled by one or more of such individuals.</w:t>
      </w:r>
    </w:p>
    <w:p w:rsidR="00F255D7" w:rsidRDefault="00F255D7">
      <w:pPr>
        <w:pStyle w:val="Para-1"/>
      </w:pPr>
      <w:r>
        <w:t>c.</w:t>
      </w:r>
      <w:r>
        <w:tab/>
        <w:t xml:space="preserve">socially and economically disadvantaged individuals include Black Americans, Hispanic Americans, Native Americans, Asian Pacific Americans, Asian Americans, and other minorities, or any other individual found to be disadvantaged by the Small Business Administration pursuant to Section 8 (a) of the Small Business act.  Asian Pacific Americans include </w:t>
      </w:r>
      <w:smartTag w:uri="urn:schemas-microsoft-com:office:smarttags" w:element="country-region">
        <w:r>
          <w:t>U.S.</w:t>
        </w:r>
      </w:smartTag>
      <w:r>
        <w:t xml:space="preserve"> citizens whose origins are from </w:t>
      </w:r>
      <w:smartTag w:uri="urn:schemas-microsoft-com:office:smarttags" w:element="country-region">
        <w:r>
          <w:t>Japan</w:t>
        </w:r>
      </w:smartTag>
      <w:r>
        <w:t xml:space="preserve">, </w:t>
      </w:r>
      <w:smartTag w:uri="urn:schemas-microsoft-com:office:smarttags" w:element="country-region">
        <w:r>
          <w:t>China</w:t>
        </w:r>
      </w:smartTag>
      <w:r>
        <w:t xml:space="preserve">, the </w:t>
      </w:r>
      <w:smartTag w:uri="urn:schemas-microsoft-com:office:smarttags" w:element="country-region">
        <w:r>
          <w:t>Philippines</w:t>
        </w:r>
      </w:smartTag>
      <w:r>
        <w:t xml:space="preserve">, </w:t>
      </w:r>
      <w:smartTag w:uri="urn:schemas-microsoft-com:office:smarttags" w:element="country-region">
        <w:r>
          <w:t>Vietnam</w:t>
        </w:r>
      </w:smartTag>
      <w:r>
        <w:t xml:space="preserve">, </w:t>
      </w:r>
      <w:smartTag w:uri="urn:schemas-microsoft-com:office:smarttags" w:element="country-region">
        <w:r>
          <w:t>Korea</w:t>
        </w:r>
      </w:smartTag>
      <w:r>
        <w:t xml:space="preserve">, Samoa, </w:t>
      </w:r>
      <w:smartTag w:uri="urn:schemas-microsoft-com:office:smarttags" w:element="City">
        <w:r>
          <w:t>Guam</w:t>
        </w:r>
      </w:smartTag>
      <w:r>
        <w:t xml:space="preserve">, </w:t>
      </w:r>
      <w:smartTag w:uri="urn:schemas-microsoft-com:office:smarttags" w:element="country-region">
        <w:r>
          <w:t>U.S.</w:t>
        </w:r>
      </w:smartTag>
      <w:r>
        <w:t xml:space="preserve"> Trust Territory of the Pacific Islands (</w:t>
      </w:r>
      <w:smartTag w:uri="urn:schemas-microsoft-com:office:smarttags" w:element="PlaceType">
        <w:r>
          <w:t>Republic</w:t>
        </w:r>
      </w:smartTag>
      <w:r>
        <w:t xml:space="preserve"> of </w:t>
      </w:r>
      <w:smartTag w:uri="urn:schemas-microsoft-com:office:smarttags" w:element="PlaceName">
        <w:r>
          <w:t>Palau</w:t>
        </w:r>
      </w:smartTag>
      <w:r>
        <w:t xml:space="preserve">), Northern Mariana Islands, </w:t>
      </w:r>
      <w:smartTag w:uri="urn:schemas-microsoft-com:office:smarttags" w:element="country-region">
        <w:r>
          <w:t>Laos</w:t>
        </w:r>
      </w:smartTag>
      <w:r>
        <w:t xml:space="preserve">, </w:t>
      </w:r>
      <w:smartTag w:uri="urn:schemas-microsoft-com:office:smarttags" w:element="country-region">
        <w:r>
          <w:t>Cambodia</w:t>
        </w:r>
      </w:smartTag>
      <w:r>
        <w:t xml:space="preserve">, </w:t>
      </w:r>
      <w:smartTag w:uri="urn:schemas-microsoft-com:office:smarttags" w:element="country-region">
        <w:r>
          <w:t>Taiwan</w:t>
        </w:r>
      </w:smartTag>
      <w:r>
        <w:t xml:space="preserve">, </w:t>
      </w:r>
      <w:smartTag w:uri="urn:schemas-microsoft-com:office:smarttags" w:element="country-region">
        <w:r>
          <w:t>Burma</w:t>
        </w:r>
      </w:smartTag>
      <w:r>
        <w:t xml:space="preserve">, Republic of the </w:t>
      </w:r>
      <w:smartTag w:uri="urn:schemas-microsoft-com:office:smarttags" w:element="country-region">
        <w:r>
          <w:t>Marshall Islands</w:t>
        </w:r>
      </w:smartTag>
      <w:r>
        <w:t xml:space="preserve">, or the </w:t>
      </w:r>
      <w:smartTag w:uri="urn:schemas-microsoft-com:office:smarttags" w:element="country-region">
        <w:smartTag w:uri="urn:schemas-microsoft-com:office:smarttags" w:element="place">
          <w:r>
            <w:t>Federated States of Micronesia</w:t>
          </w:r>
        </w:smartTag>
      </w:smartTag>
      <w:r>
        <w:t xml:space="preserve">.  Native Americans include American Indians, Eskimos, American Aleuts, and Native Hawaiians.  Hispanic Americans include </w:t>
      </w:r>
      <w:smartTag w:uri="urn:schemas-microsoft-com:office:smarttags" w:element="country-region">
        <w:r>
          <w:t>U.S.</w:t>
        </w:r>
      </w:smartTag>
      <w:r>
        <w:t xml:space="preserve"> citizens whose origins are in South America, </w:t>
      </w:r>
      <w:smartTag w:uri="urn:schemas-microsoft-com:office:smarttags" w:element="City">
        <w:r>
          <w:t>Central America</w:t>
        </w:r>
      </w:smartTag>
      <w:r>
        <w:t xml:space="preserve">, </w:t>
      </w:r>
      <w:smartTag w:uri="urn:schemas-microsoft-com:office:smarttags" w:element="country-region">
        <w:r>
          <w:t>Mexico</w:t>
        </w:r>
      </w:smartTag>
      <w:r>
        <w:t xml:space="preserve">, </w:t>
      </w:r>
      <w:smartTag w:uri="urn:schemas-microsoft-com:office:smarttags" w:element="country-region">
        <w:r>
          <w:t>Cuba</w:t>
        </w:r>
      </w:smartTag>
      <w:r>
        <w:t xml:space="preserve">, The Dominican Republic, </w:t>
      </w:r>
      <w:smartTag w:uri="urn:schemas-microsoft-com:office:smarttags" w:element="City">
        <w:r>
          <w:t>Puerto Rico</w:t>
        </w:r>
      </w:smartTag>
      <w:r>
        <w:t xml:space="preserve">, </w:t>
      </w:r>
      <w:smartTag w:uri="urn:schemas-microsoft-com:office:smarttags" w:element="country-region">
        <w:r>
          <w:t>Spain</w:t>
        </w:r>
      </w:smartTag>
      <w:r>
        <w:t xml:space="preserve">, or </w:t>
      </w:r>
      <w:smartTag w:uri="urn:schemas-microsoft-com:office:smarttags" w:element="country-region">
        <w:smartTag w:uri="urn:schemas-microsoft-com:office:smarttags" w:element="place">
          <w:r>
            <w:t>Portugal</w:t>
          </w:r>
        </w:smartTag>
      </w:smartTag>
      <w:r>
        <w:t xml:space="preserve">.  Asian Americans include </w:t>
      </w:r>
      <w:smartTag w:uri="urn:schemas-microsoft-com:office:smarttags" w:element="country-region">
        <w:r>
          <w:t>U.S.</w:t>
        </w:r>
      </w:smartTag>
      <w:r>
        <w:t xml:space="preserve"> citizens whose origins are from </w:t>
      </w:r>
      <w:smartTag w:uri="urn:schemas-microsoft-com:office:smarttags" w:element="country-region">
        <w:r>
          <w:t>India</w:t>
        </w:r>
      </w:smartTag>
      <w:r>
        <w:t xml:space="preserve">, </w:t>
      </w:r>
      <w:smartTag w:uri="urn:schemas-microsoft-com:office:smarttags" w:element="country-region">
        <w:r>
          <w:t>Pakistan</w:t>
        </w:r>
      </w:smartTag>
      <w:r>
        <w:t xml:space="preserve">, </w:t>
      </w:r>
      <w:smartTag w:uri="urn:schemas-microsoft-com:office:smarttags" w:element="country-region">
        <w:r>
          <w:t>Bangladesh</w:t>
        </w:r>
      </w:smartTag>
      <w:r>
        <w:t xml:space="preserve">, </w:t>
      </w:r>
      <w:smartTag w:uri="urn:schemas-microsoft-com:office:smarttags" w:element="country-region">
        <w:r>
          <w:t>Sri Lanka</w:t>
        </w:r>
      </w:smartTag>
      <w:r>
        <w:t xml:space="preserve">, </w:t>
      </w:r>
      <w:smartTag w:uri="urn:schemas-microsoft-com:office:smarttags" w:element="country-region">
        <w:r>
          <w:t>Bhutan</w:t>
        </w:r>
      </w:smartTag>
      <w:r>
        <w:t xml:space="preserve"> or </w:t>
      </w:r>
      <w:smartTag w:uri="urn:schemas-microsoft-com:office:smarttags" w:element="country-region">
        <w:smartTag w:uri="urn:schemas-microsoft-com:office:smarttags" w:element="place">
          <w:r>
            <w:t>Nepal</w:t>
          </w:r>
        </w:smartTag>
      </w:smartTag>
      <w:r>
        <w:t>.</w:t>
      </w:r>
    </w:p>
    <w:p w:rsidR="00F255D7" w:rsidRDefault="00F255D7">
      <w:pPr>
        <w:pStyle w:val="Heading2"/>
      </w:pPr>
      <w:r>
        <w:t>3.</w:t>
      </w:r>
      <w:r>
        <w:tab/>
        <w:t>WOMAN-OWNED BUSINESS</w:t>
      </w:r>
    </w:p>
    <w:p w:rsidR="00F255D7" w:rsidRDefault="00F255D7">
      <w:pPr>
        <w:pStyle w:val="Body-1"/>
      </w:pPr>
      <w:proofErr w:type="gramStart"/>
      <w:r>
        <w:t>A business that is at least 51 percent owned by a woman or women who also control and operate it.</w:t>
      </w:r>
      <w:proofErr w:type="gramEnd"/>
      <w:r>
        <w:t xml:space="preserve">  Control in this context means exercising the power to make policy decisions.  Operate in this context means being actively involved in the day to day management.</w:t>
      </w:r>
    </w:p>
    <w:p w:rsidR="00F255D7" w:rsidRDefault="00F255D7">
      <w:pPr>
        <w:pStyle w:val="Heading2"/>
      </w:pPr>
      <w:r>
        <w:t>4.</w:t>
      </w:r>
      <w:r>
        <w:tab/>
        <w:t>LARGE BUSINESS</w:t>
      </w:r>
    </w:p>
    <w:p w:rsidR="00F255D7" w:rsidRDefault="00F255D7">
      <w:pPr>
        <w:pStyle w:val="Body-1"/>
      </w:pPr>
      <w:r>
        <w:t>Any concern not meeting the criteria for qualifying as a small or small disadvantaged business.</w:t>
      </w:r>
    </w:p>
    <w:sectPr w:rsidR="00F255D7">
      <w:pgSz w:w="12240" w:h="15840"/>
      <w:pgMar w:top="720" w:right="936" w:bottom="720" w:left="9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D97"/>
    <w:multiLevelType w:val="singleLevel"/>
    <w:tmpl w:val="3BFA788C"/>
    <w:lvl w:ilvl="0">
      <w:numFmt w:val="bullet"/>
      <w:pStyle w:val="Bullet1"/>
      <w:lvlText w:val="•"/>
      <w:lvlJc w:val="left"/>
      <w:pPr>
        <w:tabs>
          <w:tab w:val="num" w:pos="2160"/>
        </w:tabs>
        <w:ind w:left="1987" w:hanging="187"/>
      </w:pPr>
      <w:rPr>
        <w:rFonts w:ascii="Times New Roman" w:hAnsi="Times New Roman" w:hint="default"/>
      </w:rPr>
    </w:lvl>
  </w:abstractNum>
  <w:abstractNum w:abstractNumId="1">
    <w:nsid w:val="2FEE7565"/>
    <w:multiLevelType w:val="singleLevel"/>
    <w:tmpl w:val="2C6482DC"/>
    <w:lvl w:ilvl="0">
      <w:numFmt w:val="bullet"/>
      <w:pStyle w:val="Bullet2"/>
      <w:lvlText w:val="•"/>
      <w:lvlJc w:val="left"/>
      <w:pPr>
        <w:tabs>
          <w:tab w:val="num" w:pos="2160"/>
        </w:tabs>
        <w:ind w:left="1987" w:hanging="187"/>
      </w:pPr>
      <w:rPr>
        <w:rFonts w:ascii="Times New Roman" w:hAnsi="Times New Roman" w:hint="default"/>
      </w:rPr>
    </w:lvl>
  </w:abstractNum>
  <w:abstractNum w:abstractNumId="2">
    <w:nsid w:val="79DD5C1D"/>
    <w:multiLevelType w:val="singleLevel"/>
    <w:tmpl w:val="C5B2EA9C"/>
    <w:lvl w:ilvl="0">
      <w:numFmt w:val="bullet"/>
      <w:pStyle w:val="Bullet3"/>
      <w:lvlText w:val="•"/>
      <w:lvlJc w:val="left"/>
      <w:pPr>
        <w:tabs>
          <w:tab w:val="num" w:pos="2160"/>
        </w:tabs>
        <w:ind w:left="1987" w:hanging="187"/>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C08"/>
    <w:rsid w:val="00202164"/>
    <w:rsid w:val="005B1C08"/>
    <w:rsid w:val="00911800"/>
    <w:rsid w:val="00E731B8"/>
    <w:rsid w:val="00F25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40"/>
    </w:pPr>
    <w:rPr>
      <w:rFonts w:ascii="Arial" w:hAnsi="Arial"/>
    </w:rPr>
  </w:style>
  <w:style w:type="paragraph" w:styleId="Heading1">
    <w:name w:val="heading 1"/>
    <w:basedOn w:val="Normal"/>
    <w:next w:val="Normal"/>
    <w:qFormat/>
    <w:pPr>
      <w:keepNext/>
      <w:spacing w:after="80" w:line="360" w:lineRule="auto"/>
      <w:ind w:left="547" w:hanging="547"/>
      <w:jc w:val="center"/>
      <w:outlineLvl w:val="0"/>
    </w:pPr>
    <w:rPr>
      <w:b/>
      <w:kern w:val="28"/>
      <w:sz w:val="24"/>
    </w:rPr>
  </w:style>
  <w:style w:type="paragraph" w:styleId="Heading2">
    <w:name w:val="heading 2"/>
    <w:basedOn w:val="Normal"/>
    <w:next w:val="Normal"/>
    <w:qFormat/>
    <w:pPr>
      <w:keepNext/>
      <w:spacing w:before="80" w:after="120"/>
      <w:ind w:left="360" w:hanging="360"/>
      <w:outlineLvl w:val="1"/>
    </w:pPr>
    <w:rPr>
      <w:b/>
    </w:rPr>
  </w:style>
  <w:style w:type="paragraph" w:styleId="Heading3">
    <w:name w:val="heading 3"/>
    <w:basedOn w:val="Normal"/>
    <w:next w:val="Normal"/>
    <w:qFormat/>
    <w:pPr>
      <w:keepNext/>
      <w:spacing w:before="80" w:after="80"/>
      <w:ind w:left="720" w:hanging="360"/>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1">
    <w:name w:val="Body-1"/>
    <w:basedOn w:val="Normal"/>
    <w:pPr>
      <w:spacing w:after="120" w:line="240" w:lineRule="exact"/>
      <w:ind w:left="360"/>
    </w:pPr>
  </w:style>
  <w:style w:type="paragraph" w:customStyle="1" w:styleId="Body">
    <w:name w:val="Body"/>
    <w:basedOn w:val="Body-1"/>
    <w:pPr>
      <w:ind w:left="0"/>
    </w:pPr>
  </w:style>
  <w:style w:type="paragraph" w:customStyle="1" w:styleId="Body-2">
    <w:name w:val="Body-2"/>
    <w:basedOn w:val="Body-1"/>
    <w:pPr>
      <w:ind w:left="720"/>
    </w:pPr>
  </w:style>
  <w:style w:type="paragraph" w:customStyle="1" w:styleId="Body-3">
    <w:name w:val="Body-3"/>
    <w:basedOn w:val="Body-2"/>
    <w:pPr>
      <w:ind w:left="1800"/>
    </w:pPr>
  </w:style>
  <w:style w:type="paragraph" w:customStyle="1" w:styleId="Bullet1">
    <w:name w:val="Bullet 1"/>
    <w:basedOn w:val="Body-1"/>
    <w:pPr>
      <w:numPr>
        <w:numId w:val="1"/>
      </w:numPr>
      <w:tabs>
        <w:tab w:val="clear" w:pos="2160"/>
      </w:tabs>
      <w:ind w:left="900"/>
    </w:pPr>
  </w:style>
  <w:style w:type="paragraph" w:customStyle="1" w:styleId="Bullet">
    <w:name w:val="Bullet"/>
    <w:basedOn w:val="Bullet1"/>
    <w:pPr>
      <w:numPr>
        <w:numId w:val="0"/>
      </w:numPr>
      <w:ind w:left="360" w:hanging="187"/>
    </w:pPr>
  </w:style>
  <w:style w:type="paragraph" w:customStyle="1" w:styleId="Bullet2">
    <w:name w:val="Bullet 2"/>
    <w:basedOn w:val="Body-2"/>
    <w:pPr>
      <w:numPr>
        <w:numId w:val="2"/>
      </w:numPr>
      <w:tabs>
        <w:tab w:val="clear" w:pos="2160"/>
      </w:tabs>
      <w:ind w:left="1440"/>
    </w:pPr>
  </w:style>
  <w:style w:type="paragraph" w:customStyle="1" w:styleId="Bullet3">
    <w:name w:val="Bullet 3"/>
    <w:basedOn w:val="Body-3"/>
    <w:pPr>
      <w:numPr>
        <w:numId w:val="3"/>
      </w:numPr>
      <w:tabs>
        <w:tab w:val="clear" w:pos="2160"/>
      </w:tabs>
      <w:ind w:left="2160"/>
    </w:pPr>
  </w:style>
  <w:style w:type="paragraph" w:styleId="Footer">
    <w:name w:val="footer"/>
    <w:basedOn w:val="Normal"/>
    <w:pPr>
      <w:tabs>
        <w:tab w:val="right" w:pos="10080"/>
      </w:tabs>
    </w:pPr>
    <w:rPr>
      <w:sz w:val="18"/>
    </w:rPr>
  </w:style>
  <w:style w:type="paragraph" w:styleId="Header">
    <w:name w:val="header"/>
    <w:basedOn w:val="Normal"/>
    <w:pPr>
      <w:tabs>
        <w:tab w:val="center" w:pos="4320"/>
        <w:tab w:val="right" w:pos="8640"/>
      </w:tabs>
    </w:pPr>
    <w:rPr>
      <w:sz w:val="22"/>
    </w:rPr>
  </w:style>
  <w:style w:type="paragraph" w:customStyle="1" w:styleId="Note-1">
    <w:name w:val="Note-1"/>
    <w:basedOn w:val="Body-1"/>
    <w:pPr>
      <w:spacing w:line="260" w:lineRule="atLeast"/>
      <w:ind w:left="1260" w:hanging="713"/>
    </w:pPr>
  </w:style>
  <w:style w:type="paragraph" w:customStyle="1" w:styleId="Note-2">
    <w:name w:val="Note-2"/>
    <w:basedOn w:val="Normal"/>
    <w:pPr>
      <w:spacing w:before="60" w:after="60" w:line="260" w:lineRule="atLeast"/>
      <w:ind w:left="1800" w:hanging="713"/>
    </w:pPr>
  </w:style>
  <w:style w:type="paragraph" w:customStyle="1" w:styleId="Number1">
    <w:name w:val="Number 1"/>
    <w:basedOn w:val="Body-1"/>
    <w:pPr>
      <w:ind w:left="1080" w:hanging="360"/>
    </w:pPr>
  </w:style>
  <w:style w:type="paragraph" w:customStyle="1" w:styleId="Number">
    <w:name w:val="Number"/>
    <w:basedOn w:val="Number1"/>
    <w:pPr>
      <w:ind w:left="540"/>
    </w:pPr>
  </w:style>
  <w:style w:type="paragraph" w:customStyle="1" w:styleId="Number2">
    <w:name w:val="Number 2"/>
    <w:basedOn w:val="Body-2"/>
    <w:pPr>
      <w:ind w:left="1620" w:hanging="360"/>
    </w:pPr>
  </w:style>
  <w:style w:type="paragraph" w:customStyle="1" w:styleId="Number3">
    <w:name w:val="Number 3"/>
    <w:basedOn w:val="Body-3"/>
    <w:pPr>
      <w:ind w:left="2340" w:hanging="360"/>
    </w:pPr>
  </w:style>
  <w:style w:type="paragraph" w:customStyle="1" w:styleId="Para">
    <w:name w:val="Para"/>
    <w:basedOn w:val="Normal"/>
    <w:pPr>
      <w:spacing w:before="60" w:after="60"/>
      <w:ind w:left="547" w:hanging="547"/>
    </w:pPr>
  </w:style>
  <w:style w:type="paragraph" w:customStyle="1" w:styleId="Para-1">
    <w:name w:val="Para-1"/>
    <w:basedOn w:val="Normal"/>
    <w:pPr>
      <w:spacing w:after="120" w:line="240" w:lineRule="exact"/>
      <w:ind w:left="720" w:hanging="360"/>
    </w:pPr>
  </w:style>
  <w:style w:type="paragraph" w:customStyle="1" w:styleId="Para-2">
    <w:name w:val="Para-2"/>
    <w:basedOn w:val="Normal"/>
    <w:pPr>
      <w:spacing w:before="60" w:after="60"/>
      <w:ind w:left="1800" w:hanging="720"/>
    </w:pPr>
  </w:style>
  <w:style w:type="paragraph" w:customStyle="1" w:styleId="Para-3">
    <w:name w:val="Para-3"/>
    <w:basedOn w:val="Normal"/>
    <w:pPr>
      <w:spacing w:before="60" w:after="60"/>
      <w:ind w:left="2520" w:hanging="720"/>
    </w:pPr>
  </w:style>
  <w:style w:type="paragraph" w:customStyle="1" w:styleId="RevHist">
    <w:name w:val="Rev Hist"/>
    <w:basedOn w:val="Body-1"/>
    <w:pPr>
      <w:spacing w:line="260" w:lineRule="atLeast"/>
      <w:ind w:left="2534" w:hanging="198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DEFINITIONS</vt:lpstr>
    </vt:vector>
  </TitlesOfParts>
  <Company>TECO-Westinghouse Motor Company</Company>
  <LinksUpToDate>false</LinksUpToDate>
  <CharactersWithSpaces>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DEFINITIONS</dc:title>
  <dc:creator>Denise St. George</dc:creator>
  <cp:lastModifiedBy>Edwards, Denise</cp:lastModifiedBy>
  <cp:revision>2</cp:revision>
  <cp:lastPrinted>2004-04-08T18:58:00Z</cp:lastPrinted>
  <dcterms:created xsi:type="dcterms:W3CDTF">2018-04-16T18:58:00Z</dcterms:created>
  <dcterms:modified xsi:type="dcterms:W3CDTF">2018-04-16T18:58:00Z</dcterms:modified>
</cp:coreProperties>
</file>